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C9" w:rsidRPr="001851C9" w:rsidRDefault="001851C9" w:rsidP="001851C9">
      <w:pPr>
        <w:numPr>
          <w:ilvl w:val="0"/>
          <w:numId w:val="20"/>
        </w:numPr>
        <w:shd w:val="clear" w:color="auto" w:fill="9EC5DD"/>
        <w:spacing w:after="0" w:line="240" w:lineRule="auto"/>
        <w:ind w:left="0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1851C9">
          <w:rPr>
            <w:rFonts w:ascii="Arial" w:eastAsia="Times New Roman" w:hAnsi="Arial" w:cs="Arial"/>
            <w:color w:val="435D6B"/>
            <w:lang w:eastAsia="ru-RU"/>
          </w:rPr>
          <w:t>Перейти на версию для слабовидящих</w:t>
        </w:r>
      </w:hyperlink>
    </w:p>
    <w:p w:rsidR="001851C9" w:rsidRPr="001851C9" w:rsidRDefault="001851C9" w:rsidP="001851C9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1851C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I. Общие положения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1. Настоящий обзор подготовлен по итогам обобщения результатов мониторинга 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государственных внебюджетных фондов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работниками, замещающими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(далее соответственно – служащие (работники), организации), сведения о доходах, расходах, об имуществе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обязательствах имущественного характера (далее – Сведения) своих супруги (супруга) и (или) несовершеннолетних детей.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2. Каждый случай непредставления по объективным причинам Сведений своих супруги (супруга) и (или) несовершеннолетних детей подлежит рассмотрению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на соответствующей комиссии по соблюдению требований к служебному поведению и урегулированию конфликта интересов (аттестационной комиссии) (далее – комиссия)</w:t>
      </w:r>
      <w:hyperlink r:id="rId6" w:anchor="_ftn1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3. Порядок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 определяется </w:t>
      </w:r>
      <w:r w:rsidRPr="001851C9">
        <w:rPr>
          <w:rFonts w:ascii="Tahoma" w:eastAsia="Times New Roman" w:hAnsi="Tahoma" w:cs="Tahoma"/>
          <w:b/>
          <w:bCs/>
          <w:i/>
          <w:iCs/>
          <w:color w:val="000000"/>
          <w:sz w:val="12"/>
          <w:lang w:eastAsia="ru-RU"/>
        </w:rPr>
        <w:t>нормативным правовым актом</w:t>
      </w:r>
      <w:hyperlink r:id="rId7" w:anchor="_ftn2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[2]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4. Поступившее в подразделение по профилактике коррупционных и иных правонарушений (далее – подразделение) Заявление является основанием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для заседания комиссии</w:t>
      </w:r>
      <w:hyperlink r:id="rId8" w:anchor="_ftn3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[3]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 Таким образом, Заявления рассматриваются на заседании комиссии.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Информация об адресате Заявления на примере федерального уровня представлена в приложении № 1 к настоящему обзору.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II. Алгоритм действий при невозможности по объективным причинам представить Сведения</w:t>
      </w:r>
      <w:hyperlink r:id="rId9" w:anchor="_ftn4" w:history="1">
        <w:r w:rsidRPr="001851C9">
          <w:rPr>
            <w:rFonts w:ascii="Tahoma" w:eastAsia="Times New Roman" w:hAnsi="Tahoma" w:cs="Tahoma"/>
            <w:b/>
            <w:bCs/>
            <w:color w:val="33A6E3"/>
            <w:sz w:val="12"/>
            <w:lang w:eastAsia="ru-RU"/>
          </w:rPr>
          <w:t>[4]</w:t>
        </w:r>
      </w:hyperlink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5. При невозможности по объективным причинам представить Сведения своих супруги (супруга) и несовершеннолетних детей служащему (работнику) следует обратиться с Заявлением в подразделение</w:t>
      </w:r>
      <w:hyperlink r:id="rId10" w:anchor="_ftn5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[5]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6. Пример Заявления, исходя из анализа правоприменительной практики, приведен в приложении № 2 к настоящему обзору.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7. Заявление направляется до истечения срока, установленного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для представления служащим (работником) Сведений.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8. Подача заявления не влечет необходимость представления имеющихся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в распоряжении служащего (работника) Сведений (частичных сведений) своих супруги (супруга) и несовершеннолетних детей.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9. Как правило, в целях подтверждения объективности и уважительности причин невозможности представления Сведений своих супруги (супруга) и (или) несовершеннолетних детей служащий (работник) прикладывает к Заявлению копии подтверждающих документов и иные материалы.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10. Заявление может быть представлено как лично, так и направлено почтой (заказным письмом с уведомлением), если иное не предусмотрено применимым нормативным правовым актом.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11. Для служащих (работников) право направить заявление о невозможности представить сведения о </w:t>
      </w: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своих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доходах, расходах, об имуществе и обязательствах имущественного характера законодательством Российской Федерации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не предусмотрено.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12. Для граждан право направить Заявление законодательством Российской Федерации не предусмотрено.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13. Законодательством Российской Федерации также не предусмотрено направление Заявления служащими (работниками), замещающими должности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в органах публичной власти (организациях), не включенных в перечни должностей, при замещении которых служащие (работники) обязаны представлять Сведения,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претендующими на замещение должностей в органах публичной власти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организациях, предусмотренных такими перечнями.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III. Алгоритм действий подразделения при поступлении к ним Заявления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14. Как правило, поступившее Заявление регистрируется подразделением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о доходах, расходах, об имуществе и обязательствах имущественного характера своих супруги (супруга) и (или) несовершеннолетних детей (далее – журнал).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Пример журнала, исходя из анализа правоприменительной практики, приведен в приложении № 3 к настоящему обзору.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Заявление, поступившее в нерабочий (нерабочий праздничный) день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или в нерабочее время, обычно регистрируется на следующий рабочий день.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15. Заявление, как правило, направляется председателю комиссии, который назначает дату заседания комиссии</w:t>
      </w:r>
      <w:hyperlink r:id="rId11" w:anchor="_ftn6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[6]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Перед направлением Заявления председателю комиссии подразделением может даваться объективная оценка разумной достаточности мер, принятых для получения необходимых сведений, а также результатов, которые были получены.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 этом не предусмотрена подготовка мотивированного заключения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по результатам рассмотрения Заявления и, как следствие, направление запросов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для рассмотрения Заявления не требуется, но допускается.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Результаты правоприменительной практики показали, что "скриншоты" переписок из "мессенджеров" и социальных сетей, распечатки телефонных звонков, используемые в качестве материалов, подтверждающих объективность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уважительность причин непредставления Сведений своих супруги (супруга) и (или) несовершеннолетних детей, требуют дополнительного изучения. В этом случае подразделение вправе связаться, например, с лицом, в отношении которого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не представлены Сведения.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IV. Рассмотрение Заявления на заседании комиссии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16. Председатель комиссии при поступлении к нему Заявления организует его рассмотрение на заседании комиссии</w:t>
      </w:r>
      <w:hyperlink r:id="rId12" w:anchor="_ftn7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[7]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17. Заседание комиссии по вопросу рассмотрения Заявления, как правило, проводится не позднее одного месяца со дня истечения срока, установленного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для представления Сведений (далее – декларационная кампания)</w:t>
      </w:r>
      <w:hyperlink r:id="rId13" w:anchor="_ftn8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[8]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Таким образом, заседание комиссии по вопросу рассмотрения Заявления может быть проведено в период декларационной кампании. В случае признания причины непредставления таких Сведений неуважительной</w:t>
      </w:r>
      <w:hyperlink r:id="rId14" w:anchor="_ftn9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[9]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кампании. В этой связи в целях предоставления служащим (работникам) возможности представить Сведения своих супруг (супругов) и (или) несовершеннолетних детей до окончания декларационной кампании заседание комиссии целесообразно проводить в период декларационной кампании.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18. При определении объективности и уважительности причин непредставления служащим (работником) Сведений своих супруги (супруга)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hyperlink r:id="rId15" w:anchor="_ftn10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[10]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Сведения в связи с обязательствами, взятыми супругой (супругом) перед третьими лицами. В этом случае комиссия, как правило, рекомендует представить служащему (работнику) Сведения своих супруги (супруга) и несовершеннолетних детей.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19. Председатель комиссии может принять решение о необходимости приглашения на заседание комиссии при рассмотрении Заявления иных лиц, например, представителя организации, в которой работает супруга (супруг) служащего (работника)</w:t>
      </w:r>
      <w:hyperlink r:id="rId16" w:anchor="_ftn11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[11]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20. По итогам рассмотрения Заявления комиссия может принять одно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из следующих решений</w:t>
      </w:r>
      <w:hyperlink r:id="rId17" w:anchor="_ftn12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[12]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: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lastRenderedPageBreak/>
        <w:t>а) признать, что причина непредставления служащим (работником) Сведений своих супруги (супруга) и (или) несовершеннолетних детей является объективной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уважительной;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б) признать, что причина непредставления служащим (работником) Сведений своих супруги (супруга) и (или) несовершеннолетних детей не является уважительной. В этом случае комиссия рекомендует служащему (работнику) принять меры по представлению указанных Сведений;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в) признать, что причина непредставления служащим (работником) Сведений своих супруги (супруга) и несовершеннолетних детей необъективна и является способом уклонения от представления указанных Сведений. В случае принятия последнего решения комиссия рекомендует руководителю органа публичной власти (организации) применить к служащему (работнику) конкретную меру ответственности.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Также комиссией может быть принято иное решение (в этом случае основания и мотивы принятия такого решения отражаются в протоколе заседания комиссии</w:t>
      </w:r>
      <w:hyperlink r:id="rId18" w:anchor="_ftn13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[13]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Обзор причин невозможности представить Сведения своих супруги (супруга)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(или) несовершеннолетних детей, которые признавались комиссией объективными и уважительными, приведен в приложении № 4.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Обзор причин невозможности представить Сведения своих супруги (супруга)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(или) несовершеннолетних детей, которые признавались комиссией неуважительными или необъективными и являющимися способом уклонения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от представления таких Сведений, приведен в приложении № 5.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Приложение № 1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Адресат Заявления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5"/>
        <w:gridCol w:w="7358"/>
      </w:tblGrid>
      <w:tr w:rsidR="001851C9" w:rsidRPr="001851C9" w:rsidTr="001851C9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4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лиц, замещающих государственные должности Российской Федерации, должности федеральной государственной службы, должности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Уполномоченное структурное подразделение Аппарата Правительства Российской Федерации</w:t>
            </w:r>
          </w:p>
        </w:tc>
        <w:tc>
          <w:tcPr>
            <w:tcW w:w="4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лиц, замещающих должности федеральной государственной службы, должности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4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лиц, замещающих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на которые и освобождение от которых осуществляется Президентом Российской Федерации или Правительством Российской Федерации)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подразделение по профилактике коррупционных и иных правонарушений 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      </w:r>
          </w:p>
        </w:tc>
        <w:tc>
          <w:tcPr>
            <w:tcW w:w="4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лиц, замещающих должности, включенные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 перечни, установленные нормативными актами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компаний, если иное не предусмотрено нормативными правовыми актами Российской Федерации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подразделение по профилактике коррупционных и иных правонарушений Центрального банка Российской Федерации</w:t>
            </w:r>
          </w:p>
        </w:tc>
        <w:tc>
          <w:tcPr>
            <w:tcW w:w="4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лиц, занимающих должности, включенные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 перечень, утвержденный Советом директоров Центрального банка Российской Федерации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4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атамана Всероссийского казачьего общества, гражданина, претендующего на замещение должности атамана Всероссийского казачьего общества, или атаманов войскового казачьего общества и атаманов войскового казачьего общества, избранных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Приложение № 2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3"/>
        <w:gridCol w:w="5640"/>
      </w:tblGrid>
      <w:tr w:rsidR="001851C9" w:rsidRPr="001851C9" w:rsidTr="001851C9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Регистрационный номер: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(указывается номер, присвоенный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 журнале регистрации заявлений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 невозможности по объективным причинам представить сведения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 доходах, расходах, об имуществе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 обязательствах имущественного характера своих супруги (супруга)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 (или) несовершеннолетних детей)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6"/>
        <w:gridCol w:w="768"/>
        <w:gridCol w:w="326"/>
        <w:gridCol w:w="365"/>
        <w:gridCol w:w="1055"/>
        <w:gridCol w:w="1727"/>
        <w:gridCol w:w="1612"/>
        <w:gridCol w:w="1746"/>
        <w:gridCol w:w="2418"/>
      </w:tblGrid>
      <w:tr w:rsidR="001851C9" w:rsidRPr="001851C9" w:rsidTr="001851C9">
        <w:trPr>
          <w:tblCellSpacing w:w="0" w:type="dxa"/>
        </w:trPr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</w:t>
            </w:r>
          </w:p>
        </w:tc>
        <w:tc>
          <w:tcPr>
            <w:tcW w:w="26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14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</w:t>
            </w:r>
          </w:p>
        </w:tc>
        <w:tc>
          <w:tcPr>
            <w:tcW w:w="44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(соответствующее подразделение органа публичной власти или организации по профилактике коррупционных и иных правонарушений)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14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(указываются фамилия, имя, отчество (при наличии) полностью лица, направляющего заявление)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14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(замещаемая должность и структурное подразделение органа публичной власти или организации)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14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(телефон)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62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lastRenderedPageBreak/>
              <w:t>ЗАЯВЛЕНИЕ</w:t>
            </w:r>
          </w:p>
          <w:p w:rsidR="001851C9" w:rsidRPr="001851C9" w:rsidRDefault="001851C9" w:rsidP="0018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о невозможности по объективным причинам представить сведения</w:t>
            </w:r>
            <w:r w:rsidRPr="001851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r w:rsidRPr="001851C9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62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62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(указываются фамилия, имя, отчество (при наличии) полностью супруги (супруга)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 (или) несовершеннолетних детей)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связи с тем, что</w:t>
            </w:r>
          </w:p>
        </w:tc>
        <w:tc>
          <w:tcPr>
            <w:tcW w:w="465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5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62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(указываются все причины и обстоятельства, необходимые для того, чтобы комиссия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по соблюдению требований к служебному поведению и урегулированию конфликта интересов (аттестационная комиссия) (далее – комиссия) могла сделать вывод о том,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что непредставление сведений носит объективный характер)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62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Мною предприняты следующие меры по представлению указанных сведений: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62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62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62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 заявлению прилагаются следующие копии документов</w:t>
            </w: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 дополнительные материалы (при наличии):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62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(указываются копии документов и дополнительные материалы)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62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62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Намереваюсь / не намереваюсь лично присутствовать на заседании комиссии (нужное подчеркнуть).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 принятом комиссией решении прошу проинформировать: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62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(дата)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 лица, направившего заявление)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(расшифровка подписи)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(дата)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 лица, принявшего заявление)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(расшифровка подписи)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851C9" w:rsidRPr="001851C9" w:rsidRDefault="001851C9" w:rsidP="001851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851C9" w:rsidRPr="001851C9" w:rsidRDefault="001851C9" w:rsidP="001851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851C9" w:rsidRPr="001851C9" w:rsidRDefault="001851C9" w:rsidP="001851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851C9" w:rsidRPr="001851C9" w:rsidRDefault="001851C9" w:rsidP="001851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851C9" w:rsidRPr="001851C9" w:rsidRDefault="001851C9" w:rsidP="001851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851C9" w:rsidRPr="001851C9" w:rsidRDefault="001851C9" w:rsidP="001851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851C9" w:rsidRPr="001851C9" w:rsidRDefault="001851C9" w:rsidP="001851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851C9" w:rsidRPr="001851C9" w:rsidRDefault="001851C9" w:rsidP="001851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851C9" w:rsidRPr="001851C9" w:rsidRDefault="001851C9" w:rsidP="001851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Приложение № 3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ЖУРНАЛ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регистрации заявлений о невозможности по объективным причинам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представить сведения о доходах, расходах, об имуществе и обязательствах имущественного характера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своих супруги (супруга) и (или) несовершеннолетних детей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2141"/>
        <w:gridCol w:w="2038"/>
        <w:gridCol w:w="2786"/>
        <w:gridCol w:w="2457"/>
        <w:gridCol w:w="2038"/>
      </w:tblGrid>
      <w:tr w:rsidR="001851C9" w:rsidRPr="001851C9" w:rsidTr="001851C9">
        <w:trPr>
          <w:tblCellSpacing w:w="0" w:type="dxa"/>
        </w:trPr>
        <w:tc>
          <w:tcPr>
            <w:tcW w:w="4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Сведения о лице, подавшем заявление</w:t>
            </w:r>
          </w:p>
        </w:tc>
        <w:tc>
          <w:tcPr>
            <w:tcW w:w="24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имя, отчество и статус 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1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Причины невозможности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8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имя, отчество, подпись должностного лица, принявшего заявление, и дата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851C9" w:rsidRPr="001851C9" w:rsidRDefault="001851C9" w:rsidP="0018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имя, отчество полностью (при наличии)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Замещаемая (занимаемая) должность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851C9" w:rsidRPr="001851C9" w:rsidRDefault="001851C9" w:rsidP="0018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851C9" w:rsidRPr="001851C9" w:rsidRDefault="001851C9" w:rsidP="0018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851C9" w:rsidRPr="001851C9" w:rsidRDefault="001851C9" w:rsidP="0018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851C9" w:rsidRPr="001851C9" w:rsidTr="001851C9">
        <w:trPr>
          <w:tblCellSpacing w:w="0" w:type="dxa"/>
        </w:trPr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51C9" w:rsidRPr="001851C9" w:rsidTr="001851C9">
        <w:trPr>
          <w:tblCellSpacing w:w="0" w:type="dxa"/>
        </w:trPr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…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851C9" w:rsidRPr="001851C9" w:rsidRDefault="001851C9" w:rsidP="001851C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lastRenderedPageBreak/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Приложение № 4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Обзор причин невозможности представить Сведения своих супруги (супруга)</w:t>
      </w:r>
      <w:r w:rsidRPr="001851C9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br/>
      </w: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 несовершеннолетних детей, которые признавались комиссией</w:t>
      </w:r>
      <w:r w:rsidRPr="001851C9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br/>
      </w: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объективными и уважительными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1. Нахождение в ссоре супругов, которые не поддерживают связь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не планируют развод, признавалось объективной и уважительной причиной непредставления служащим (работником) Сведений своих супруги (супруга) и (или) несовершеннолетних детей в случае, если служащим (работником) предоставлялись следующие копии документов и материалы: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выписка из домовой книги, свидетельствующая о раздельном проживании супругов и несовершеннолетних детей;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копия заказного письма с уведомлением, а в случае возврата такого письма служащему (работнику), как правило, прилагалась копия обеих сторон бланка извещения Ф.22.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2. Нахождение в бракоразводном процессе, а также планирование развода признавалось объективной и уважительной причиной при предоставлении таких копий документов как: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копия заявления о расторжении брака, поданного в органы ЗАГС, с отметкой о его принятии;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копия искового заявления о расторжении брака, поданного в суд, с отметкой о его принятии;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копия определения о принятии искового заявления о расторжении брака;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копия определения о назначении дела к судебному разбирательству;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копия повестки в суд.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этом случае комиссия при принятии соответствующего решения может дополнительно рекомендовать служащему (работнику) представить по истечении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не поддерживают. В этом случае объективность и уважительность причин непредставления Сведений своих несовершеннолетних детей подтверждалась следующими копиями документов и материалами: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копия решения суда, определяющее место жительства несовершеннолетнего ребенка;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копия свидетельства о расторжении брака;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выписка из домовой книги, свидетельствующая о раздельном проживании супругов и несовершеннолетних детей;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4. Объективными и уважительными причинами непредставления служащим (работником) Сведений своих супруги (супруга) и (или) несовершеннолетних детей также признавались: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смерть супруги (супруга) и несовершеннолетних детей или объявление судом их умершими в период декларационной кампании при предоставлении копии свидетельства о смерти или копии медицинского свидетельства, а также копии соответствующего решения суда;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пропажа супруги (супруга) и несовершеннолетних детей (в этом случае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в комиссию предоставлялись копии заявлений о пропаже человека или о розыске человека, поданные в органы МВД России, с отметкой об их принятии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к рассмотрению);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признание судом безвестно отсутствующими супруги (супруга) и (или) несовершеннолетних детей при предоставлении служащим (работником) копии судебного решения;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избрание меры пресечения в виде домашнего ареста или заключения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под стражу супруги (супруга), подтверждаемые копиями решения суда и (или) постановлением о продлении срока содержания под стражей, справкой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из следственного изолятора или исправительных учреждений;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нахождение супруги (супруга) на длительном стационарном лечении, подтверждаемое копиями медицинских заключений, больничными листами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медицинскими справками;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участие супруги (супруга) в длительных командировках, объективно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уважительно препятствующих представлению Сведений;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 непредставление Сведений своих супруги (супруга) в силу законодательства Российской Федерации о государственной тайне</w:t>
      </w:r>
      <w:hyperlink r:id="rId19" w:anchor="_ftn14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[14]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подтверждаемое, например, справкой из военной части об отнесении запрашиваемой информации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к государственной тайне.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ситуации, при которой прохождение военной службы супругом (супругой)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не предполагает защиту в рамках законодательства Российской Федерации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о государственной тайне, но содержит иную "чувствительную" информацию,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как правило, при заполнении титульного листа справки о доходах, расходах,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об имуществе и обязательствах имущественного характера, форма которой утверждена Указом Президента Российской Федерации от 23 июня 2014 г. № 460,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в отношении такого супруга (супруги), замещающего должность военной службы, допускается ограничиться исполнением надписи "Военнослужащий"; отражение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в названной справке сведений о должностях военнослужащих, замещаемых ими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в конкретных войсковых частях, представляется нецелесообразным.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Приложение № 5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Обзор причин невозможности представить Сведения своих супруги (супруга)</w:t>
      </w:r>
      <w:r w:rsidRPr="001851C9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br/>
      </w: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 (или) несовершеннолетних детей, которые признавались комиссией неуважительными или необъективными и являющимися способом</w:t>
      </w:r>
      <w:r w:rsidRPr="001851C9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br/>
      </w:r>
      <w:r w:rsidRPr="001851C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уклонения от представления таких Сведений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lastRenderedPageBreak/>
        <w:t>1. Нахождение в ссоре супругов, которые не поддерживают связь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не планируют развод, признавалось необъективной и неуважительной причиной непредставления служащим (работником) Сведений своих супруги (супруга)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несовершеннолетних детей в случае, если служащим было подано Заявление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без предоставления подтверждающих копий документов и материалов.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 (копия заявления о расторжении брака, поданного в органы ЗАГС, копия искового заявления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о расторжении брака).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3. Иные случаи представления Заявления без копий подтверждающих документов и материалов.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4. Нахождение в отпуске.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5. Непредставление служащим (работником) Сведений своих супруги (супруга) в силу адвокатской тайны</w:t>
      </w:r>
      <w:hyperlink r:id="rId20" w:anchor="_ftn15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[15]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6. Непредставление служащим (работником) Сведений своих супруги (супруга) в силу коммерческой тайны</w:t>
      </w:r>
      <w:hyperlink r:id="rId21" w:anchor="_ftn16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[16]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7. Непредставление служащим (работником) Сведений своих супруги (супруга) в силу брачного договора</w:t>
      </w:r>
      <w:hyperlink r:id="rId22" w:anchor="_ftn17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[17]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851C9" w:rsidRPr="001851C9" w:rsidRDefault="001851C9" w:rsidP="001851C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pict>
          <v:rect id="_x0000_i1025" style="width:0;height:.5pt" o:hralign="center" o:hrstd="t" o:hr="t" fillcolor="#a0a0a0" stroked="f"/>
        </w:pic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23" w:anchor="_ftnref1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(далее – Указ Президента Российской 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в Российской Федерации, сведений о доходах, об имуществе и обязательствах имущественного характера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№ 460".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24" w:anchor="_ftnref2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[2]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См., например, абзац третий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по соблюдению требований к служебному поведению федеральных государственных служащих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урегулированию конфликта интересов" (далее соответственно – Положение о комиссиях, Указ Президента Российской Федерации № 821).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Органам государственной власти субъектов Российской Федерации, органам местного самоуправления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организациям в соответствии с пунктом 8 Указа Президента Российской Федерации № 821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и подпунктом "б" пункта 23 Указа Президента Российской Федерации от 2 апреля 2013 г. № 309 "О мерах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по реализации отдельных положений Федерального закона "О противодействии коррупции" рекомендовано руководствоваться Положением о комиссиях при разработке аналогичных положений, включающих,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в том числе, издание порядков поступления Заявлений.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№ 559 могут быть разрешены применимыми нормативными правовыми актами Российской Федерации, в том числе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в рамках утвержденных порядков представления соответствующих сведений лицами, занимающими такие должности.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25" w:anchor="_ftnref3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[3]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См., например, абзац третий подпункта "б" пункта 16 Положения о комиссиях.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26" w:anchor="_ftnref4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[4]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Здесь и далее обзор исходит из позиций, закрепленных в Положении о комиссиях.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27" w:anchor="_ftnref5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[5]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См., например, абзац третий подпункта "б" пункта 16 Положения о комиссиях.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28" w:anchor="_ftnref6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[6]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См., например, пункт 18</w:t>
      </w:r>
      <w:r w:rsidRPr="001851C9">
        <w:rPr>
          <w:rFonts w:ascii="Tahoma" w:eastAsia="Times New Roman" w:hAnsi="Tahoma" w:cs="Tahoma"/>
          <w:color w:val="000000"/>
          <w:sz w:val="12"/>
          <w:szCs w:val="12"/>
          <w:vertAlign w:val="superscript"/>
          <w:lang w:eastAsia="ru-RU"/>
        </w:rPr>
        <w:t>1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Положения о комиссиях.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29" w:anchor="_ftnref7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[7]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См., например, 18 Положения о комиссиях.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30" w:anchor="_ftnref8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[8]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См., например, 18</w:t>
      </w:r>
      <w:r w:rsidRPr="001851C9">
        <w:rPr>
          <w:rFonts w:ascii="Tahoma" w:eastAsia="Times New Roman" w:hAnsi="Tahoma" w:cs="Tahoma"/>
          <w:color w:val="000000"/>
          <w:sz w:val="12"/>
          <w:szCs w:val="12"/>
          <w:vertAlign w:val="superscript"/>
          <w:lang w:eastAsia="ru-RU"/>
        </w:rPr>
        <w:t>1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Положения о комиссиях.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31" w:anchor="_ftnref9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[9]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См., например, подпункт "б" пункта 25 Положения о комиссиях.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32" w:anchor="_ftnref10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[10]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Так, например, объективная причина – это причина, которая существует независимо от воли служащего (работника) (например, служащий (работник) длительное время не располагает сведениями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33" w:anchor="_ftnref11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[11]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См., например, абзац четвертый пункта 6.4.6 Методических рекомендаций.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34" w:anchor="_ftnref12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[12]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См., например, пункт 25 Положения о комиссиях.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35" w:anchor="_ftnref13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[13]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См., например, пункт 26 Положения о комиссиях.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36" w:anchor="_ftnref14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[14]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См., например, Закон Российской Федерации от 21 июля 1993 г. № 5485-I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 "Об утверждении Перечня сведений, отнесенных к государственной тайне".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37" w:anchor="_ftnref15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[15]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Так, в соответствии с пунктом 1 статьи 8 Федерального закона от 31 мая 2002 г. № 63-ФЗ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"Об адвокатской деятельности и адвокатуре в Российской Федерации" (далее – Федеральный закон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силу прямого указания пункта 5 статьи 6 Кодекса профессиональной этики адвоката, принятого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Совета Федеральной палаты адвокатов 8 июля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2021 г.).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Исчисление и уплата сумм налога с доходов адвокатов производятся адвокатским образованием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в порядке, определенном главой 23 "Налог на доходы физических лиц" Налогового кодекса Российской Федерации.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Таким образом, представление сведений о доходах супруги (супруга), осуществляющих свою деятельно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в качестве адвоката, не противоречит законодательству об адвокатской тайне.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38" w:anchor="_ftnref16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[16]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Согласно пункту 1 статьи 3 Федерального закона от 29 июля 2004 г. № 98-ФЗ "О коммерческой тайне", коммерческая тайна представляет собой режим конфиденциальности информации, позволяющий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 этом режим коммерческой тайны не может быть установлен в отношении сведений о численности,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о составе работников (штатное расписание), о системе оплаты труда (условия трудового договора),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 учетом того, что заработная плата входит в понятие системы оплаты труда, то эти сведения также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не относятся к коммерческой тайне (см., часть 2 статьи 135 Трудового кодекса Российской Федерации).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39" w:anchor="_ftnref17" w:history="1">
        <w:r w:rsidRPr="001851C9">
          <w:rPr>
            <w:rFonts w:ascii="Tahoma" w:eastAsia="Times New Roman" w:hAnsi="Tahoma" w:cs="Tahoma"/>
            <w:color w:val="33A6E3"/>
            <w:sz w:val="12"/>
            <w:lang w:eastAsia="ru-RU"/>
          </w:rPr>
          <w:t>[17]</w:t>
        </w:r>
      </w:hyperlink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(см., статья 40 Семейного кодекса Российской Федерации).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 этом брачный договор не может ограничивать правоспособность или дееспособность супругов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(см., пункт 3 статьи 42 Семейного кодекса российской Федерации).</w:t>
      </w:r>
    </w:p>
    <w:p w:rsidR="001851C9" w:rsidRPr="001851C9" w:rsidRDefault="001851C9" w:rsidP="001851C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Представление Сведений 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</w:t>
      </w:r>
      <w:r w:rsidRPr="001851C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не может быть ограничена брачным договором.</w:t>
      </w:r>
    </w:p>
    <w:p w:rsidR="001851C9" w:rsidRPr="001851C9" w:rsidRDefault="001851C9" w:rsidP="001851C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1851C9" w:rsidRPr="001851C9" w:rsidRDefault="001851C9" w:rsidP="001851C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1851C9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Создан: 01.03.2024 10:54. Последнее изменение: 01.03.2024 10:54.</w:t>
      </w:r>
    </w:p>
    <w:p w:rsidR="001851C9" w:rsidRPr="001851C9" w:rsidRDefault="001851C9" w:rsidP="001851C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1851C9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38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777"/>
        <w:gridCol w:w="4778"/>
      </w:tblGrid>
      <w:tr w:rsidR="001851C9" w:rsidRPr="001851C9" w:rsidTr="001851C9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1851C9" w:rsidRPr="001851C9" w:rsidRDefault="001851C9" w:rsidP="0018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1851C9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 w:rsidRPr="001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851C9" w:rsidRPr="001851C9" w:rsidRDefault="001851C9" w:rsidP="0018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305002, г. Курск, ул. М.Горького, 65 А-3, офис 7</w:t>
            </w:r>
            <w:r w:rsidRPr="001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41" w:history="1">
              <w:r w:rsidRPr="001851C9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2E3B3D" w:rsidRPr="001851C9" w:rsidRDefault="002E3B3D" w:rsidP="001851C9"/>
    <w:sectPr w:rsidR="002E3B3D" w:rsidRPr="001851C9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815"/>
    <w:multiLevelType w:val="multilevel"/>
    <w:tmpl w:val="A1F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C4DD7"/>
    <w:multiLevelType w:val="multilevel"/>
    <w:tmpl w:val="E2A8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04CA8"/>
    <w:multiLevelType w:val="multilevel"/>
    <w:tmpl w:val="1C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43B04"/>
    <w:multiLevelType w:val="multilevel"/>
    <w:tmpl w:val="89E2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C746A"/>
    <w:multiLevelType w:val="multilevel"/>
    <w:tmpl w:val="8F8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73A4B"/>
    <w:multiLevelType w:val="multilevel"/>
    <w:tmpl w:val="05F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15"/>
  </w:num>
  <w:num w:numId="8">
    <w:abstractNumId w:val="13"/>
  </w:num>
  <w:num w:numId="9">
    <w:abstractNumId w:val="14"/>
  </w:num>
  <w:num w:numId="10">
    <w:abstractNumId w:val="12"/>
  </w:num>
  <w:num w:numId="11">
    <w:abstractNumId w:val="3"/>
  </w:num>
  <w:num w:numId="12">
    <w:abstractNumId w:val="16"/>
  </w:num>
  <w:num w:numId="13">
    <w:abstractNumId w:val="0"/>
  </w:num>
  <w:num w:numId="14">
    <w:abstractNumId w:val="4"/>
  </w:num>
  <w:num w:numId="15">
    <w:abstractNumId w:val="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2D32"/>
    <w:rsid w:val="00052D32"/>
    <w:rsid w:val="000A1B20"/>
    <w:rsid w:val="001851C9"/>
    <w:rsid w:val="0019472C"/>
    <w:rsid w:val="001D2002"/>
    <w:rsid w:val="001E0FAA"/>
    <w:rsid w:val="002E3B3D"/>
    <w:rsid w:val="00363962"/>
    <w:rsid w:val="00371212"/>
    <w:rsid w:val="004C53DA"/>
    <w:rsid w:val="005942C1"/>
    <w:rsid w:val="005D0CC7"/>
    <w:rsid w:val="00607356"/>
    <w:rsid w:val="006E15EA"/>
    <w:rsid w:val="007953FB"/>
    <w:rsid w:val="00801EDF"/>
    <w:rsid w:val="00813581"/>
    <w:rsid w:val="008753B4"/>
    <w:rsid w:val="008E0528"/>
    <w:rsid w:val="00914BCD"/>
    <w:rsid w:val="00923450"/>
    <w:rsid w:val="0098079C"/>
    <w:rsid w:val="009E37B0"/>
    <w:rsid w:val="009F77D9"/>
    <w:rsid w:val="00A537FA"/>
    <w:rsid w:val="00A61131"/>
    <w:rsid w:val="00AE2290"/>
    <w:rsid w:val="00BE42F3"/>
    <w:rsid w:val="00C54ED3"/>
    <w:rsid w:val="00C70838"/>
    <w:rsid w:val="00C83373"/>
    <w:rsid w:val="00C85636"/>
    <w:rsid w:val="00D850C6"/>
    <w:rsid w:val="00DF622A"/>
    <w:rsid w:val="00E33B1E"/>
    <w:rsid w:val="00EF5132"/>
    <w:rsid w:val="00EF6B3E"/>
    <w:rsid w:val="00F51090"/>
    <w:rsid w:val="00F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  <w:style w:type="character" w:customStyle="1" w:styleId="sizefile">
    <w:name w:val="size_file"/>
    <w:basedOn w:val="a0"/>
    <w:rsid w:val="00C85636"/>
  </w:style>
  <w:style w:type="character" w:styleId="a8">
    <w:name w:val="Emphasis"/>
    <w:basedOn w:val="a0"/>
    <w:uiPriority w:val="20"/>
    <w:qFormat/>
    <w:rsid w:val="001851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6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2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4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27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5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50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08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02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7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06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2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4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90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827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15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3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1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2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6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13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18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26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39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34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12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17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25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33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38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20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29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41" Type="http://schemas.openxmlformats.org/officeDocument/2006/relationships/hyperlink" Target="mailto:icr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11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24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32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37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40" Type="http://schemas.openxmlformats.org/officeDocument/2006/relationships/hyperlink" Target="http://reg-kursk.ru/" TargetMode="External"/><Relationship Id="rId5" Type="http://schemas.openxmlformats.org/officeDocument/2006/relationships/hyperlink" Target="http://tolpino.rkursk.ru/index.php?mun_obr=190&amp;sub_menus_id=53172&amp;print=1&amp;id_mat=565247" TargetMode="External"/><Relationship Id="rId15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23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28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36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10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19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31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14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22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27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30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35" Type="http://schemas.openxmlformats.org/officeDocument/2006/relationships/hyperlink" Target="file:///C:\Users\Pulsar\Downloads\%D0%9E%D0%B1%D0%B7%D0%BE%D1%80%20%D0%BF%D1%80%D0%B0%D0%B2%D0%BE%D0%BF%D1%80%D0%B8%D0%BC%D0%B5%D0%BD%D0%B8%D1%82%20%D0%BF%D1%80%D0%B0%D0%BA%D1%82%D0%B8%D0%BA%D0%B8%20%D0%BF%D0%BE%20%D0%BD%D0%B5%D0%BF%D1%80%D0%B5%D0%B4%D0%BE%D1%81%D1%82%D0%B0%D0%B2%D0%BB%D0%B5%D0%BD%D0%B8%D1%8E%20%D1%81%D0%B2%D0%B5%D0%B4%D0%B5%D0%BD%D0%B8%D0%B9%20%D0%BE%20%D0%B4%D0%BE%D1%85%D0%BE%D0%B4%D0%B0%D1%85%202023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6991</Words>
  <Characters>39852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39</cp:revision>
  <dcterms:created xsi:type="dcterms:W3CDTF">2024-05-26T15:09:00Z</dcterms:created>
  <dcterms:modified xsi:type="dcterms:W3CDTF">2024-05-26T15:36:00Z</dcterms:modified>
</cp:coreProperties>
</file>